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4D" w:rsidRDefault="0013154D" w:rsidP="0013154D">
      <w:pPr>
        <w:snapToGrid w:val="0"/>
        <w:ind w:leftChars="-750" w:left="-1800" w:right="-1633" w:firstLineChars="128" w:firstLine="359"/>
        <w:jc w:val="center"/>
        <w:textDirection w:val="lrTbV"/>
        <w:rPr>
          <w:rFonts w:ascii="標楷體" w:eastAsia="標楷體" w:hAnsi="標楷體" w:hint="eastAsia"/>
          <w:b/>
          <w:sz w:val="28"/>
          <w:szCs w:val="28"/>
        </w:rPr>
      </w:pPr>
      <w:r w:rsidRPr="00AA21D5">
        <w:rPr>
          <w:rFonts w:ascii="標楷體" w:eastAsia="標楷體" w:hAnsi="標楷體" w:hint="eastAsia"/>
          <w:b/>
          <w:sz w:val="28"/>
          <w:szCs w:val="28"/>
        </w:rPr>
        <w:t>銘傳大學 新媒體暨傳播管理學系碩士班</w:t>
      </w:r>
      <w:r w:rsidRPr="00AA21D5">
        <w:rPr>
          <w:rFonts w:ascii="標楷體" w:eastAsia="標楷體" w:hAnsi="標楷體" w:hint="eastAsia"/>
          <w:sz w:val="28"/>
          <w:szCs w:val="28"/>
        </w:rPr>
        <w:t xml:space="preserve"> </w:t>
      </w:r>
      <w:r w:rsidRPr="00AA21D5">
        <w:rPr>
          <w:rFonts w:ascii="標楷體" w:eastAsia="標楷體" w:hAnsi="標楷體" w:hint="eastAsia"/>
          <w:b/>
          <w:sz w:val="28"/>
          <w:szCs w:val="28"/>
        </w:rPr>
        <w:t>必選修科目表</w:t>
      </w:r>
    </w:p>
    <w:p w:rsidR="0013154D" w:rsidRPr="00AA21D5" w:rsidRDefault="0013154D" w:rsidP="0013154D">
      <w:pPr>
        <w:snapToGrid w:val="0"/>
        <w:ind w:leftChars="-750" w:left="-1800" w:right="-1633" w:firstLineChars="128" w:firstLine="359"/>
        <w:jc w:val="center"/>
        <w:textDirection w:val="lrTbV"/>
        <w:rPr>
          <w:rFonts w:ascii="標楷體" w:eastAsia="標楷體" w:hAnsi="標楷體"/>
          <w:b/>
          <w:sz w:val="28"/>
          <w:szCs w:val="28"/>
        </w:rPr>
      </w:pPr>
      <w:r w:rsidRPr="00AA21D5">
        <w:rPr>
          <w:rFonts w:ascii="標楷體" w:eastAsia="標楷體" w:hAnsi="標楷體" w:hint="eastAsia"/>
          <w:b/>
          <w:sz w:val="28"/>
          <w:szCs w:val="28"/>
        </w:rPr>
        <w:t>（105</w:t>
      </w:r>
      <w:r>
        <w:rPr>
          <w:rFonts w:ascii="標楷體" w:eastAsia="標楷體" w:hAnsi="標楷體" w:hint="eastAsia"/>
          <w:b/>
          <w:sz w:val="28"/>
          <w:szCs w:val="28"/>
        </w:rPr>
        <w:t>-106</w:t>
      </w:r>
      <w:r w:rsidRPr="00AA21D5">
        <w:rPr>
          <w:rFonts w:ascii="標楷體" w:eastAsia="標楷體" w:hAnsi="標楷體" w:hint="eastAsia"/>
          <w:b/>
          <w:sz w:val="28"/>
          <w:szCs w:val="28"/>
        </w:rPr>
        <w:t>學年度入學生適用）</w:t>
      </w:r>
    </w:p>
    <w:tbl>
      <w:tblPr>
        <w:tblW w:w="100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41"/>
        <w:gridCol w:w="822"/>
        <w:gridCol w:w="398"/>
        <w:gridCol w:w="426"/>
        <w:gridCol w:w="567"/>
        <w:gridCol w:w="567"/>
        <w:gridCol w:w="567"/>
        <w:gridCol w:w="567"/>
        <w:gridCol w:w="1831"/>
      </w:tblGrid>
      <w:tr w:rsidR="0013154D" w:rsidRPr="00AA21D5" w:rsidTr="0013154D">
        <w:trPr>
          <w:cantSplit/>
          <w:trHeight w:val="307"/>
          <w:jc w:val="center"/>
        </w:trPr>
        <w:tc>
          <w:tcPr>
            <w:tcW w:w="5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bookmarkStart w:id="0" w:name="_GoBack"/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科       目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時數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第1學年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第2學年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13154D" w:rsidRPr="00AA21D5" w:rsidTr="0013154D">
        <w:trPr>
          <w:cantSplit/>
          <w:jc w:val="center"/>
        </w:trPr>
        <w:tc>
          <w:tcPr>
            <w:tcW w:w="51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51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授課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授課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授課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授課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trHeight w:val="532"/>
          <w:jc w:val="center"/>
        </w:trPr>
        <w:tc>
          <w:tcPr>
            <w:tcW w:w="3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校</w:t>
            </w:r>
          </w:p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定</w:t>
            </w:r>
          </w:p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必</w:t>
            </w:r>
          </w:p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修</w:t>
            </w:r>
          </w:p>
        </w:tc>
        <w:tc>
          <w:tcPr>
            <w:tcW w:w="3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實務應用英文</w:t>
            </w: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01601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ind w:leftChars="30" w:left="72" w:rightChars="20" w:right="48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基礎課程（通過</w:t>
            </w:r>
            <w:proofErr w:type="gramStart"/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校定</w:t>
            </w:r>
            <w:proofErr w:type="gramEnd"/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之英語相關檢定者得以免修英文課程）</w:t>
            </w:r>
          </w:p>
        </w:tc>
      </w:tr>
      <w:tr w:rsidR="0013154D" w:rsidRPr="00AA21D5" w:rsidTr="0013154D">
        <w:trPr>
          <w:cantSplit/>
          <w:trHeight w:val="548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實務應用英文</w:t>
            </w: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01602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napToGrid w:val="0"/>
              <w:spacing w:line="240" w:lineRule="atLeast"/>
              <w:ind w:leftChars="30" w:left="72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</w:t>
            </w:r>
          </w:p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業</w:t>
            </w:r>
          </w:p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必</w:t>
            </w:r>
          </w:p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修</w:t>
            </w:r>
          </w:p>
        </w:tc>
        <w:tc>
          <w:tcPr>
            <w:tcW w:w="394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傳播理論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73506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-10" w:left="-24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管理理論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73507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傳播研究方法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73503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傳播資料分析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73517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傳播事業管理專題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73521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</w:t>
            </w:r>
          </w:p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業</w:t>
            </w:r>
          </w:p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選</w:t>
            </w:r>
          </w:p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修</w:t>
            </w:r>
          </w:p>
        </w:tc>
        <w:tc>
          <w:tcPr>
            <w:tcW w:w="394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媒介組織管理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73531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媒介人力資源管理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73534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firstLineChars="100" w:firstLine="2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數位媒體研究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firstLineChars="7" w:firstLine="14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資訊管理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73533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firstLineChars="100" w:firstLine="200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資訊傳播專題研究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73540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中國大陸傳播專題研究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73547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29" w:left="74" w:hangingChars="2" w:hanging="4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新媒體行銷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73658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firstLineChars="100" w:firstLine="200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媒介財務管理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73535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firstLineChars="100" w:firstLine="2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傳播研究設計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firstLineChars="100" w:firstLine="2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傳播政策與法規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73641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firstLineChars="100" w:firstLine="200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公共關係活動企劃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73537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29" w:left="74" w:hangingChars="2" w:hanging="4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國際傳播專題研究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73555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firstLineChars="100" w:firstLine="2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資訊社會行動研究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73542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firstLineChars="100" w:firstLine="200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品牌</w:t>
            </w: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傳播社會學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73635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新媒體傳播專題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73652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文化創意行銷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73660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媒介行銷與促銷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73634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傳播倫理與規範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73659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政治傳播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MC003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D12A7" w:rsidRDefault="0013154D" w:rsidP="00775D71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傳播專案管理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73657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媒介市場策略研究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73636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right="-52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跨文化與國際傳播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73649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firstLineChars="100" w:firstLine="200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文化創意產業專題研究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firstLineChars="100" w:firstLine="2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資料新聞學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73557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firstLineChars="100" w:firstLine="2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自媒體</w:t>
            </w:r>
            <w:proofErr w:type="gramStart"/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規</w:t>
            </w:r>
            <w:proofErr w:type="gramEnd"/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畫與設計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73558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自媒體操作與經營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73559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新媒體資料分析(電腦類)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73561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D12A7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數位內容加值(電腦類)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73562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D12A7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新媒體行銷實作(電腦類)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73661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D12A7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電子商務法規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73662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D12A7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trHeight w:val="270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職場應用英文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01603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D12A7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2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trHeight w:val="105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總</w:t>
            </w:r>
          </w:p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lastRenderedPageBreak/>
              <w:t>計</w:t>
            </w:r>
          </w:p>
        </w:tc>
        <w:tc>
          <w:tcPr>
            <w:tcW w:w="476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英文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ind w:firstLineChars="200" w:firstLine="4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ind w:firstLineChars="200" w:firstLine="4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ind w:leftChars="30" w:left="72" w:rightChars="30" w:righ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trHeight w:val="279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專業必修科目學分合計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trike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trHeight w:val="279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至少應選修學分數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trike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trike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3154D" w:rsidRPr="00AA21D5" w:rsidTr="0013154D">
        <w:trPr>
          <w:cantSplit/>
          <w:trHeight w:val="60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英文暨</w:t>
            </w:r>
            <w:r w:rsidRPr="00AA21D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專業課程學分合計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21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54D" w:rsidRPr="00AA21D5" w:rsidRDefault="0013154D" w:rsidP="00775D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:rsidR="0013154D" w:rsidRPr="00AA21D5" w:rsidRDefault="0013154D" w:rsidP="0013154D">
      <w:pPr>
        <w:numPr>
          <w:ilvl w:val="0"/>
          <w:numId w:val="1"/>
        </w:numPr>
        <w:snapToGrid w:val="0"/>
        <w:spacing w:line="160" w:lineRule="atLeast"/>
        <w:ind w:left="426" w:right="-477" w:hanging="426"/>
        <w:jc w:val="both"/>
        <w:textDirection w:val="lrTbV"/>
        <w:rPr>
          <w:rFonts w:ascii="標楷體" w:eastAsia="標楷體" w:hAnsi="標楷體"/>
          <w:color w:val="000000" w:themeColor="text1"/>
          <w:sz w:val="18"/>
          <w:szCs w:val="20"/>
        </w:rPr>
      </w:pPr>
      <w:r w:rsidRPr="00AA21D5">
        <w:rPr>
          <w:rFonts w:ascii="標楷體" w:eastAsia="標楷體" w:hAnsi="標楷體"/>
          <w:color w:val="000000" w:themeColor="text1"/>
          <w:sz w:val="18"/>
          <w:szCs w:val="20"/>
        </w:rPr>
        <w:t>本系碩士班必須修滿及格必修暨選修課程達</w:t>
      </w:r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43</w:t>
      </w:r>
      <w:r w:rsidRPr="00AA21D5">
        <w:rPr>
          <w:rFonts w:ascii="標楷體" w:eastAsia="標楷體" w:hAnsi="標楷體"/>
          <w:color w:val="000000" w:themeColor="text1"/>
          <w:sz w:val="18"/>
          <w:szCs w:val="20"/>
        </w:rPr>
        <w:t>學分以上(不含碩士論文學分)，通過本校研究生學位考試規則規定之各項考試及</w:t>
      </w:r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本</w:t>
      </w:r>
      <w:r w:rsidRPr="00AA21D5">
        <w:rPr>
          <w:rFonts w:ascii="標楷體" w:eastAsia="標楷體" w:hAnsi="標楷體"/>
          <w:color w:val="000000" w:themeColor="text1"/>
          <w:sz w:val="18"/>
          <w:szCs w:val="20"/>
        </w:rPr>
        <w:t>系所規定專業基本能力檢定</w:t>
      </w:r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，</w:t>
      </w:r>
      <w:r w:rsidRPr="00AA21D5">
        <w:rPr>
          <w:rFonts w:ascii="標楷體" w:eastAsia="標楷體" w:hAnsi="標楷體"/>
          <w:color w:val="000000" w:themeColor="text1"/>
          <w:sz w:val="18"/>
          <w:szCs w:val="20"/>
        </w:rPr>
        <w:t>始可畢業。</w:t>
      </w:r>
    </w:p>
    <w:p w:rsidR="0013154D" w:rsidRPr="00AA21D5" w:rsidRDefault="0013154D" w:rsidP="0013154D">
      <w:pPr>
        <w:numPr>
          <w:ilvl w:val="0"/>
          <w:numId w:val="1"/>
        </w:numPr>
        <w:snapToGrid w:val="0"/>
        <w:spacing w:line="160" w:lineRule="atLeast"/>
        <w:ind w:left="426" w:right="-45" w:hanging="426"/>
        <w:jc w:val="both"/>
        <w:textDirection w:val="lrTbV"/>
        <w:rPr>
          <w:rFonts w:ascii="標楷體" w:eastAsia="標楷體" w:hAnsi="標楷體"/>
          <w:color w:val="000000" w:themeColor="text1"/>
          <w:sz w:val="18"/>
          <w:szCs w:val="20"/>
        </w:rPr>
      </w:pPr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承認外系所相關課程至多6學分。</w:t>
      </w:r>
    </w:p>
    <w:p w:rsidR="0013154D" w:rsidRPr="00AA21D5" w:rsidRDefault="0013154D" w:rsidP="0013154D">
      <w:pPr>
        <w:numPr>
          <w:ilvl w:val="0"/>
          <w:numId w:val="1"/>
        </w:numPr>
        <w:snapToGrid w:val="0"/>
        <w:spacing w:line="160" w:lineRule="atLeast"/>
        <w:ind w:left="426" w:right="-45" w:hanging="426"/>
        <w:jc w:val="both"/>
        <w:textDirection w:val="lrTbV"/>
        <w:rPr>
          <w:rFonts w:ascii="標楷體" w:eastAsia="標楷體" w:hAnsi="標楷體"/>
          <w:color w:val="000000" w:themeColor="text1"/>
          <w:sz w:val="18"/>
          <w:szCs w:val="20"/>
        </w:rPr>
      </w:pPr>
      <w:r w:rsidRPr="00AA21D5">
        <w:rPr>
          <w:rFonts w:ascii="標楷體" w:eastAsia="標楷體" w:hAnsi="標楷體"/>
          <w:color w:val="000000" w:themeColor="text1"/>
          <w:sz w:val="18"/>
          <w:szCs w:val="20"/>
        </w:rPr>
        <w:t>依本校學則規定，研究生需通過「專業基本能力」檢定，始得畢業。</w:t>
      </w:r>
    </w:p>
    <w:p w:rsidR="0013154D" w:rsidRPr="00AA21D5" w:rsidRDefault="0013154D" w:rsidP="0013154D">
      <w:pPr>
        <w:numPr>
          <w:ilvl w:val="0"/>
          <w:numId w:val="1"/>
        </w:numPr>
        <w:snapToGrid w:val="0"/>
        <w:spacing w:line="160" w:lineRule="atLeast"/>
        <w:ind w:left="426" w:hanging="426"/>
        <w:rPr>
          <w:rFonts w:ascii="標楷體" w:eastAsia="標楷體" w:hAnsi="標楷體"/>
          <w:color w:val="000000" w:themeColor="text1"/>
          <w:sz w:val="18"/>
          <w:szCs w:val="20"/>
        </w:rPr>
      </w:pPr>
      <w:proofErr w:type="gramStart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本必選修</w:t>
      </w:r>
      <w:proofErr w:type="gramEnd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科目表之選修課程，可追溯至</w:t>
      </w:r>
      <w:proofErr w:type="gramStart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10</w:t>
      </w:r>
      <w:r>
        <w:rPr>
          <w:rFonts w:ascii="標楷體" w:eastAsia="標楷體" w:hAnsi="標楷體" w:hint="eastAsia"/>
          <w:color w:val="000000" w:themeColor="text1"/>
          <w:sz w:val="18"/>
          <w:szCs w:val="20"/>
        </w:rPr>
        <w:t>4</w:t>
      </w:r>
      <w:proofErr w:type="gramEnd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年度(含)以前入學學生適用。</w:t>
      </w:r>
    </w:p>
    <w:p w:rsidR="0013154D" w:rsidRPr="00AA21D5" w:rsidRDefault="0013154D" w:rsidP="0013154D">
      <w:pPr>
        <w:numPr>
          <w:ilvl w:val="0"/>
          <w:numId w:val="1"/>
        </w:numPr>
        <w:snapToGrid w:val="0"/>
        <w:spacing w:line="160" w:lineRule="atLeast"/>
        <w:ind w:left="426" w:right="-477" w:hanging="426"/>
        <w:jc w:val="both"/>
        <w:textDirection w:val="lrTbV"/>
        <w:rPr>
          <w:rFonts w:ascii="標楷體" w:eastAsia="標楷體" w:hAnsi="標楷體"/>
          <w:color w:val="000000" w:themeColor="text1"/>
          <w:sz w:val="18"/>
          <w:szCs w:val="20"/>
        </w:rPr>
      </w:pPr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碩士班學生於畢業前仍未取得相當於</w:t>
      </w:r>
      <w:proofErr w:type="gramStart"/>
      <w:r w:rsidRPr="00AA21D5">
        <w:rPr>
          <w:rFonts w:ascii="標楷體" w:eastAsia="標楷體" w:hAnsi="標楷體"/>
          <w:color w:val="000000" w:themeColor="text1"/>
          <w:sz w:val="18"/>
          <w:szCs w:val="20"/>
        </w:rPr>
        <w:t>”</w:t>
      </w:r>
      <w:proofErr w:type="gramEnd"/>
      <w:r w:rsidRPr="00AA21D5">
        <w:rPr>
          <w:rFonts w:ascii="標楷體" w:eastAsia="標楷體" w:hAnsi="標楷體"/>
          <w:color w:val="000000" w:themeColor="text1"/>
          <w:sz w:val="18"/>
          <w:szCs w:val="20"/>
        </w:rPr>
        <w:t>CEFR</w:t>
      </w:r>
      <w:proofErr w:type="gramStart"/>
      <w:r w:rsidRPr="00AA21D5">
        <w:rPr>
          <w:rFonts w:ascii="標楷體" w:eastAsia="標楷體" w:hAnsi="標楷體"/>
          <w:color w:val="000000" w:themeColor="text1"/>
          <w:sz w:val="18"/>
          <w:szCs w:val="20"/>
        </w:rPr>
        <w:t>”</w:t>
      </w:r>
      <w:proofErr w:type="gramEnd"/>
      <w:r w:rsidRPr="00AA21D5">
        <w:rPr>
          <w:rFonts w:ascii="標楷體" w:eastAsia="標楷體" w:hAnsi="標楷體"/>
          <w:color w:val="000000" w:themeColor="text1"/>
          <w:sz w:val="18"/>
          <w:szCs w:val="20"/>
        </w:rPr>
        <w:t>B1</w:t>
      </w:r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級之英檢證照者</w:t>
      </w:r>
      <w:proofErr w:type="gramStart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（</w:t>
      </w:r>
      <w:proofErr w:type="gramEnd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依本校訂定為：</w:t>
      </w:r>
      <w:proofErr w:type="gramStart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多益</w:t>
      </w:r>
      <w:r w:rsidRPr="00AA21D5">
        <w:rPr>
          <w:rFonts w:ascii="標楷體" w:eastAsia="標楷體" w:hAnsi="標楷體"/>
          <w:color w:val="000000" w:themeColor="text1"/>
          <w:sz w:val="18"/>
          <w:szCs w:val="20"/>
        </w:rPr>
        <w:t>550</w:t>
      </w:r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分</w:t>
      </w:r>
      <w:proofErr w:type="gramEnd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、全民英檢中級</w:t>
      </w:r>
      <w:proofErr w:type="gramStart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複</w:t>
      </w:r>
      <w:proofErr w:type="gramEnd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試</w:t>
      </w:r>
      <w:r w:rsidRPr="00AA21D5">
        <w:rPr>
          <w:rFonts w:ascii="標楷體" w:eastAsia="標楷體" w:hAnsi="標楷體"/>
          <w:color w:val="000000" w:themeColor="text1"/>
          <w:sz w:val="18"/>
          <w:szCs w:val="20"/>
        </w:rPr>
        <w:t>…</w:t>
      </w:r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等等</w:t>
      </w:r>
      <w:proofErr w:type="gramStart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）</w:t>
      </w:r>
      <w:proofErr w:type="gramEnd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，則須修習</w:t>
      </w:r>
      <w:r w:rsidRPr="00AA21D5">
        <w:rPr>
          <w:rFonts w:ascii="標楷體" w:eastAsia="標楷體" w:hAnsi="標楷體"/>
          <w:color w:val="000000" w:themeColor="text1"/>
          <w:sz w:val="18"/>
          <w:szCs w:val="20"/>
        </w:rPr>
        <w:t>4</w:t>
      </w:r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學分「實務應用英文</w:t>
      </w:r>
      <w:proofErr w:type="gramStart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一</w:t>
      </w:r>
      <w:proofErr w:type="gramEnd"/>
      <w:r w:rsidRPr="00AA21D5">
        <w:rPr>
          <w:rFonts w:ascii="標楷體" w:eastAsia="標楷體" w:hAnsi="標楷體" w:hint="eastAsia"/>
          <w:color w:val="000000" w:themeColor="text1"/>
          <w:sz w:val="18"/>
          <w:szCs w:val="20"/>
        </w:rPr>
        <w:t>」及「實務應用英文二」課程及格後，始得畢業。</w:t>
      </w:r>
    </w:p>
    <w:p w:rsidR="001E48BE" w:rsidRPr="0013154D" w:rsidRDefault="001E48BE"/>
    <w:sectPr w:rsidR="001E48BE" w:rsidRPr="001315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8F2"/>
    <w:multiLevelType w:val="hybridMultilevel"/>
    <w:tmpl w:val="4EBCE238"/>
    <w:lvl w:ilvl="0" w:tplc="D9ECE7EE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4D"/>
    <w:rsid w:val="0013154D"/>
    <w:rsid w:val="001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MCU</cp:lastModifiedBy>
  <cp:revision>1</cp:revision>
  <dcterms:created xsi:type="dcterms:W3CDTF">2016-12-23T06:01:00Z</dcterms:created>
  <dcterms:modified xsi:type="dcterms:W3CDTF">2016-12-23T06:02:00Z</dcterms:modified>
</cp:coreProperties>
</file>